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南京市第二医院感染性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肝病三科简介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感染性肝病三科现开放床位50张，开展特色诊疗包括：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1、感染性肝病的个性化抗病毒治疗。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2、黄平主任目前为中国研究型医院学会肝病专业委员会重肝学组委员，在全国重症肝病医学界享有一定学术地位。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3、对肝硬化患者的门脉高压原因及程度有系统、科学、多样的评估方法，并针对患者情况采取个体化治疗。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4、应用介入、微波及射频等多种微创方式治疗肝脏肿瘤。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5、对不明原因肝病的治疗有丰富的临床经验。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联系人：黄老师</w:t>
      </w:r>
      <w:bookmarkStart w:id="0" w:name="_GoBack"/>
      <w:bookmarkEnd w:id="0"/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联系电话：025-85091753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EE"/>
    <w:rsid w:val="009E2E38"/>
    <w:rsid w:val="00DD1DA9"/>
    <w:rsid w:val="00F662EE"/>
    <w:rsid w:val="099506E7"/>
    <w:rsid w:val="1F132C78"/>
    <w:rsid w:val="27DA7202"/>
    <w:rsid w:val="281449A5"/>
    <w:rsid w:val="3BA83F92"/>
    <w:rsid w:val="469B0C3C"/>
    <w:rsid w:val="5CC63D08"/>
    <w:rsid w:val="5E7E7872"/>
    <w:rsid w:val="630D00C4"/>
    <w:rsid w:val="67037CE7"/>
    <w:rsid w:val="67DD4140"/>
    <w:rsid w:val="681C05BE"/>
    <w:rsid w:val="69BB2990"/>
    <w:rsid w:val="7D6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19</TotalTime>
  <ScaleCrop>false</ScaleCrop>
  <LinksUpToDate>false</LinksUpToDate>
  <CharactersWithSpaces>237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2021-05-09T03:27:00Z</dcterms:created>
  <dc:creator>艾 敏</dc:creator>
  <cp:lastModifiedBy>冬冬</cp:lastModifiedBy>
  <dcterms:modified xsi:type="dcterms:W3CDTF">2021-07-16T08:50:22Z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